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6B49E910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C3F14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05C5AE52" w:rsidR="004E1498" w:rsidRPr="004E1498" w:rsidRDefault="004E1498" w:rsidP="00E83679">
      <w:pPr>
        <w:pStyle w:val="Identifikace"/>
      </w:pPr>
      <w:r w:rsidRPr="00EE32FE">
        <w:t xml:space="preserve">zastoupená </w:t>
      </w:r>
      <w:r w:rsidR="00256030">
        <w:rPr>
          <w:b/>
          <w:bCs/>
        </w:rPr>
        <w:t xml:space="preserve">Ing. Tomášem </w:t>
      </w:r>
      <w:proofErr w:type="spellStart"/>
      <w:r w:rsidR="00256030">
        <w:rPr>
          <w:b/>
          <w:bCs/>
        </w:rPr>
        <w:t>Čočkem</w:t>
      </w:r>
      <w:proofErr w:type="spellEnd"/>
      <w:r w:rsidR="00256030">
        <w:rPr>
          <w:b/>
          <w:bCs/>
        </w:rPr>
        <w:t xml:space="preserve">, Ph.D., </w:t>
      </w:r>
      <w:r w:rsidR="00EE32FE" w:rsidRPr="00EE32FE">
        <w:t xml:space="preserve"> </w:t>
      </w:r>
      <w:r w:rsidR="00256030">
        <w:t>náměstkem GŘ pro ekonomiku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7E7B98D4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CC3F14" w:rsidRPr="00CC3F14">
        <w:rPr>
          <w:b/>
          <w:bCs/>
        </w:rPr>
        <w:t xml:space="preserve">Úprava společných prostor </w:t>
      </w:r>
      <w:proofErr w:type="spellStart"/>
      <w:r w:rsidR="00CC3F14" w:rsidRPr="00CC3F14">
        <w:rPr>
          <w:b/>
          <w:bCs/>
        </w:rPr>
        <w:t>obj</w:t>
      </w:r>
      <w:proofErr w:type="spellEnd"/>
      <w:r w:rsidR="00CC3F14" w:rsidRPr="00CC3F14">
        <w:rPr>
          <w:b/>
          <w:bCs/>
        </w:rPr>
        <w:t>. Křižíkova</w:t>
      </w:r>
      <w:r w:rsidRPr="004E1498">
        <w:t xml:space="preserve">“, </w:t>
      </w:r>
      <w:r w:rsidR="000D278B" w:rsidRPr="00164804">
        <w:t xml:space="preserve">č.j. veřejné zakázky </w:t>
      </w:r>
      <w:r w:rsidR="00164804" w:rsidRPr="00164804">
        <w:t>50766</w:t>
      </w:r>
      <w:r w:rsidR="00164804">
        <w:t xml:space="preserve">/2024-SŽ-GŘ-O8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8F6E4C7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C11765" w:rsidRPr="00C11765">
        <w:t>úprava společných prostor v objektu Křižíkova dle Projektové dokumentace</w:t>
      </w:r>
      <w:r w:rsidR="0086114C" w:rsidRPr="004E1498">
        <w:t>.</w:t>
      </w:r>
    </w:p>
    <w:p w14:paraId="31E5226B" w14:textId="757D2D37" w:rsidR="004E1498" w:rsidRPr="009309C8" w:rsidRDefault="004E1498" w:rsidP="00F1527A">
      <w:pPr>
        <w:pStyle w:val="Nadpis2"/>
        <w:widowControl w:val="0"/>
      </w:pPr>
      <w:r w:rsidRPr="009309C8">
        <w:t>Předmět díla je blíže specifikován v přílo</w:t>
      </w:r>
      <w:r w:rsidR="00CB53B1" w:rsidRPr="009309C8">
        <w:t>ze</w:t>
      </w:r>
      <w:r w:rsidRPr="009309C8">
        <w:t xml:space="preserve"> </w:t>
      </w:r>
      <w:r w:rsidR="0086114C" w:rsidRPr="009309C8">
        <w:t>č</w:t>
      </w:r>
      <w:r w:rsidR="00C11765" w:rsidRPr="009309C8">
        <w:t xml:space="preserve">. </w:t>
      </w:r>
      <w:r w:rsidR="00AC112C" w:rsidRPr="009309C8">
        <w:t>1</w:t>
      </w:r>
      <w:r w:rsidR="00C11765" w:rsidRPr="009309C8">
        <w:t xml:space="preserve"> S</w:t>
      </w:r>
      <w:r w:rsidRPr="009309C8">
        <w:t>mlouvy.</w:t>
      </w:r>
    </w:p>
    <w:p w14:paraId="3E663345" w14:textId="42547E90" w:rsidR="004E1498" w:rsidRPr="00770D1C" w:rsidRDefault="004E1498" w:rsidP="00F1527A">
      <w:pPr>
        <w:pStyle w:val="Nadpis2"/>
        <w:widowControl w:val="0"/>
      </w:pPr>
      <w:r w:rsidRPr="00465E8A">
        <w:t>Předmět díla musí být proveden v souladu s právními předpisy, normami ČSN, technickými normami</w:t>
      </w:r>
      <w:r w:rsidR="006566F7" w:rsidRPr="00465E8A">
        <w:t xml:space="preserve"> uvedenými v příloze č. </w:t>
      </w:r>
      <w:r w:rsidR="00AC112C" w:rsidRPr="00465E8A">
        <w:t>1</w:t>
      </w:r>
      <w:r w:rsidR="006566F7" w:rsidRPr="00465E8A">
        <w:t xml:space="preserve"> S</w:t>
      </w:r>
      <w:r w:rsidRPr="00770D1C">
        <w:t>mlouvy.</w:t>
      </w:r>
    </w:p>
    <w:p w14:paraId="38B842B8" w14:textId="5E5E9D8D" w:rsidR="00D12287" w:rsidRPr="00164804" w:rsidRDefault="00D12287" w:rsidP="0012738B">
      <w:pPr>
        <w:pStyle w:val="Nadpis2"/>
        <w:widowControl w:val="0"/>
        <w:ind w:left="680" w:hanging="680"/>
      </w:pPr>
      <w:r w:rsidRPr="00164804">
        <w:lastRenderedPageBreak/>
        <w:t xml:space="preserve">Zhotovitel je povinen při provádění předmětu plnění dodržovat předpisy SŽ Bp1  </w:t>
      </w:r>
      <w:r w:rsidRPr="00164804">
        <w:rPr>
          <w:i/>
        </w:rPr>
        <w:t>Předpis o bezpečnosti a ochraně zdraví při práci</w:t>
      </w:r>
      <w:r w:rsidRPr="00164804">
        <w:t xml:space="preserve"> a Bp3 </w:t>
      </w:r>
      <w:r w:rsidRPr="00164804">
        <w:rPr>
          <w:i/>
        </w:rPr>
        <w:t>Bezpečnost a ochrana zdraví při práci na stavbách a při stavebních činnostech v prostorách státní organizace Správa železnic</w:t>
      </w:r>
      <w:r w:rsidRPr="00164804">
        <w:t>, v platném a účinném znění.</w:t>
      </w:r>
    </w:p>
    <w:p w14:paraId="454D118F" w14:textId="67086C0D" w:rsidR="00D12287" w:rsidRPr="00164804" w:rsidRDefault="00D12287" w:rsidP="0012738B">
      <w:pPr>
        <w:pStyle w:val="Nadpis2"/>
        <w:widowControl w:val="0"/>
        <w:ind w:left="680" w:hanging="680"/>
      </w:pPr>
      <w:r w:rsidRPr="00164804">
        <w:t xml:space="preserve">V případě, že Objednatel určí a smluvně zajistí koordinátora bezpečnosti a ochrany zdraví při práci (dále jen „BOZP“) na staveništi dle zákona č. 309/2006 Sb., je Zhotovitel povinen postupovat v součinnosti s koordinátorem BOZP, a to po celou dobu realizace předmětu díla, a je zároveň povinen smluvně zavázat k součinnosti s koordinátorem BOZP po celou dobu realizace předmětu díla i všechny právnické a fyzické osoby – podnikatele, kteří budou Zhotovitelem či jeho poddodavateli pověřeni prováděním předmětu díla nebo jeho části. </w:t>
      </w:r>
    </w:p>
    <w:p w14:paraId="4926214A" w14:textId="4CFAF714" w:rsidR="0012738B" w:rsidRPr="00164804" w:rsidRDefault="0012738B" w:rsidP="0012738B">
      <w:pPr>
        <w:pStyle w:val="Nadpis2"/>
        <w:widowControl w:val="0"/>
        <w:ind w:left="680" w:hanging="680"/>
      </w:pPr>
      <w:r w:rsidRPr="00465E8A">
        <w:t>Zhotovitel je povinen vypracovat analýzu rizik, která bude Objednateli předána před zahájením plnění.</w:t>
      </w:r>
    </w:p>
    <w:p w14:paraId="620E778C" w14:textId="1F1354BE" w:rsidR="004E1498" w:rsidRPr="00C11765" w:rsidRDefault="004E1498" w:rsidP="00F1527A">
      <w:pPr>
        <w:pStyle w:val="Nadpis2"/>
        <w:widowControl w:val="0"/>
      </w:pPr>
      <w:r w:rsidRPr="00C11765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12384A6B" w:rsidR="00810E9B" w:rsidRPr="0012738B" w:rsidRDefault="00DB7CC9" w:rsidP="00F1527A">
      <w:pPr>
        <w:pStyle w:val="Nadpis2"/>
        <w:widowControl w:val="0"/>
      </w:pPr>
      <w:r w:rsidRPr="00C11765">
        <w:t xml:space="preserve">Cena za Dílo </w:t>
      </w:r>
      <w:r w:rsidR="006566F7" w:rsidRPr="00C11765">
        <w:t>je přílohou č.</w:t>
      </w:r>
      <w:r w:rsidR="00C11765" w:rsidRPr="00C11765">
        <w:t xml:space="preserve"> </w:t>
      </w:r>
      <w:r w:rsidR="00AC112C">
        <w:t>2</w:t>
      </w:r>
      <w:r w:rsidR="006566F7" w:rsidRPr="00C11765">
        <w:t xml:space="preserve"> </w:t>
      </w:r>
      <w:r w:rsidR="00810E9B" w:rsidRPr="0012738B">
        <w:t>Smlouvy.</w:t>
      </w:r>
    </w:p>
    <w:p w14:paraId="28C81697" w14:textId="680CD40E" w:rsidR="00810E9B" w:rsidRPr="0012738B" w:rsidRDefault="00810E9B" w:rsidP="00F1527A">
      <w:pPr>
        <w:pStyle w:val="Nadpis2"/>
        <w:widowControl w:val="0"/>
      </w:pPr>
      <w:r w:rsidRPr="0012738B">
        <w:t xml:space="preserve">Fakturace bude provedena </w:t>
      </w:r>
      <w:r w:rsidR="00CB53B1" w:rsidRPr="0012738B">
        <w:t xml:space="preserve">na základě akceptačního protokolu podepsaného oběma </w:t>
      </w:r>
      <w:r w:rsidR="003B5DD6" w:rsidRPr="0012738B">
        <w:t>Sml</w:t>
      </w:r>
      <w:r w:rsidR="00CB53B1" w:rsidRPr="0012738B">
        <w:t>uvními stranami</w:t>
      </w:r>
      <w:r w:rsidR="00FA32F8" w:rsidRPr="0012738B">
        <w:t xml:space="preserve"> po realizaci </w:t>
      </w:r>
      <w:r w:rsidR="00C11765" w:rsidRPr="0012738B">
        <w:t>celého předmětu díla.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211D566F" w:rsidR="004E1498" w:rsidRPr="00164804" w:rsidRDefault="004E1498" w:rsidP="00F1527A">
      <w:pPr>
        <w:pStyle w:val="Nadpis2"/>
        <w:widowControl w:val="0"/>
      </w:pPr>
      <w:r w:rsidRPr="00E76B71">
        <w:t>Místem plnění je</w:t>
      </w:r>
      <w:r w:rsidR="00C11765" w:rsidRPr="00E76B71">
        <w:t xml:space="preserve"> </w:t>
      </w:r>
      <w:r w:rsidR="00995A54" w:rsidRPr="00E76B71">
        <w:t xml:space="preserve">Křižíkova 552/2, </w:t>
      </w:r>
      <w:bookmarkStart w:id="0" w:name="_Hlk168042631"/>
      <w:r w:rsidR="00995A54" w:rsidRPr="00E76B71">
        <w:t>186 00 Praha 8</w:t>
      </w:r>
      <w:bookmarkEnd w:id="0"/>
      <w:r w:rsidR="00995A54" w:rsidRPr="00E76B71">
        <w:t>.</w:t>
      </w:r>
    </w:p>
    <w:p w14:paraId="624D8729" w14:textId="125A631F" w:rsidR="005740C3" w:rsidRPr="0012738B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</w:t>
      </w:r>
      <w:r w:rsidRPr="0012738B">
        <w:t xml:space="preserve">do </w:t>
      </w:r>
      <w:r w:rsidR="00CB6084" w:rsidRPr="0012738B">
        <w:t>2 měsíců od nabytí účinnosti Smlouvy</w:t>
      </w:r>
      <w:r w:rsidR="0086114C" w:rsidRPr="0012738B">
        <w:t>.</w:t>
      </w:r>
    </w:p>
    <w:p w14:paraId="4AE0DFE4" w14:textId="54FCEC9B" w:rsidR="004E1498" w:rsidRPr="0012738B" w:rsidRDefault="00CB53B1" w:rsidP="00F1527A">
      <w:pPr>
        <w:pStyle w:val="Nadpis2"/>
        <w:widowControl w:val="0"/>
      </w:pPr>
      <w:r w:rsidRPr="0012738B">
        <w:t xml:space="preserve">Zhotovitel je povinen zahájit plnění Díla </w:t>
      </w:r>
      <w:r w:rsidRPr="00465E8A">
        <w:t>nej</w:t>
      </w:r>
      <w:r w:rsidR="006566F7" w:rsidRPr="00465E8A">
        <w:t>později do</w:t>
      </w:r>
      <w:r w:rsidR="006566F7" w:rsidRPr="00EF3688">
        <w:t xml:space="preserve"> </w:t>
      </w:r>
      <w:r w:rsidR="00465E8A" w:rsidRPr="00EF3688">
        <w:t>14</w:t>
      </w:r>
      <w:r w:rsidR="006566F7" w:rsidRPr="00EF3688">
        <w:t xml:space="preserve"> </w:t>
      </w:r>
      <w:r w:rsidR="006566F7" w:rsidRPr="00465E8A">
        <w:t>dnů od účinnosti S</w:t>
      </w:r>
      <w:r w:rsidRPr="00465E8A">
        <w:t>mlouvy</w:t>
      </w:r>
      <w:r w:rsidR="00BC4DC9" w:rsidRPr="00465E8A">
        <w:t>. V případě, že Zhotovitel nezahájí plnění nejpo</w:t>
      </w:r>
      <w:r w:rsidR="006566F7" w:rsidRPr="00465E8A">
        <w:t xml:space="preserve">zději </w:t>
      </w:r>
      <w:r w:rsidR="00465E8A" w:rsidRPr="00EF3688">
        <w:t xml:space="preserve">15. </w:t>
      </w:r>
      <w:r w:rsidR="006566F7" w:rsidRPr="00465E8A">
        <w:t>den od účinnosti této S</w:t>
      </w:r>
      <w:r w:rsidR="00BC4DC9" w:rsidRPr="00465E8A">
        <w:t>mlouvy, je povinen zaplatit Objednateli smluvní pokutu ve výši 50.000,-Kč a Objednatel</w:t>
      </w:r>
      <w:r w:rsidR="00BC4DC9" w:rsidRPr="0012738B">
        <w:t xml:space="preserve"> má právo odstoupit o</w:t>
      </w:r>
      <w:r w:rsidR="006566F7" w:rsidRPr="0012738B">
        <w:t>d této Smlouvy. Odstoupením od S</w:t>
      </w:r>
      <w:r w:rsidR="00BC4DC9" w:rsidRPr="0012738B">
        <w:t>mlouvy nejsou dotčeny další sankce sjed</w:t>
      </w:r>
      <w:r w:rsidR="006566F7" w:rsidRPr="0012738B">
        <w:t>nané v této S</w:t>
      </w:r>
      <w:r w:rsidR="00BC4DC9" w:rsidRPr="0012738B">
        <w:t>mlouvě a právo na náhradu škody vzniklé Objednateli.</w:t>
      </w:r>
    </w:p>
    <w:p w14:paraId="38280017" w14:textId="762EBA9D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  <w:r w:rsidR="00D820EA">
        <w:rPr>
          <w:rFonts w:eastAsia="Times New Roman"/>
          <w:lang w:eastAsia="cs-CZ"/>
        </w:rPr>
        <w:t xml:space="preserve"> a pojištění</w:t>
      </w:r>
    </w:p>
    <w:p w14:paraId="76B099DF" w14:textId="49122FF2" w:rsidR="004E1498" w:rsidRDefault="004E1498" w:rsidP="00F1527A">
      <w:pPr>
        <w:pStyle w:val="Nadpis2"/>
        <w:widowControl w:val="0"/>
      </w:pPr>
      <w:r w:rsidRPr="00995A54">
        <w:t xml:space="preserve">Záruční doba činí </w:t>
      </w:r>
      <w:r w:rsidR="00816B59" w:rsidRPr="00995A54">
        <w:t>24 měsíců</w:t>
      </w:r>
      <w:r w:rsidRPr="00995A54">
        <w:t>.</w:t>
      </w:r>
    </w:p>
    <w:p w14:paraId="55A19BBB" w14:textId="1BCCFB0F" w:rsidR="00D820EA" w:rsidRPr="00AC53E4" w:rsidRDefault="00D820EA" w:rsidP="00D820EA">
      <w:pPr>
        <w:pStyle w:val="Nadpis2"/>
        <w:widowControl w:val="0"/>
      </w:pPr>
      <w:r w:rsidRPr="00AC53E4">
        <w:t xml:space="preserve">Zhotovitel je povinen udržovat v platnosti po celou dobu trvání této Smlouvy pojistnou smlouvu, jejímž předmětem je pojištění </w:t>
      </w:r>
      <w:r w:rsidRPr="00027848">
        <w:t xml:space="preserve">odpovědnosti za újmu způsobenou </w:t>
      </w:r>
      <w:r>
        <w:t>třetím osobám vzniklou při výkonu činnosti pojištěného</w:t>
      </w:r>
      <w:r w:rsidRPr="00027848">
        <w:t xml:space="preserve"> s limitem pojistného plnění ve výši min. </w:t>
      </w:r>
      <w:r>
        <w:t>2 </w:t>
      </w:r>
      <w:r w:rsidRPr="00027848">
        <w:t>000</w:t>
      </w:r>
      <w:r>
        <w:t> </w:t>
      </w:r>
      <w:r w:rsidRPr="00027848">
        <w:t>000,- Kč za rok.</w:t>
      </w:r>
    </w:p>
    <w:p w14:paraId="59C62A15" w14:textId="33E0366B" w:rsidR="00D820EA" w:rsidRPr="00D820EA" w:rsidRDefault="00D820EA" w:rsidP="00D820EA">
      <w:pPr>
        <w:pStyle w:val="Nadpis2"/>
        <w:widowControl w:val="0"/>
      </w:pPr>
      <w:r w:rsidRPr="00AC53E4">
        <w:t xml:space="preserve">Zhotovitel je povinen za každý den, po který není pojištěn, zaplatit Objednateli smluvní pokutu ve výši </w:t>
      </w:r>
      <w:r w:rsidRPr="00027848">
        <w:t>10.000,- Kč.</w:t>
      </w:r>
      <w:r w:rsidRPr="00AC53E4">
        <w:t xml:space="preserve"> V případě, že doba, po kterou nebyl Zhotovitel pojištěn, překročila po dobu trvání smlouvy více jak </w:t>
      </w:r>
      <w:r w:rsidRPr="00027848">
        <w:t>20 kalendářních dnů</w:t>
      </w:r>
      <w:r w:rsidRPr="00AC53E4">
        <w:t>, je</w:t>
      </w:r>
      <w:r>
        <w:t xml:space="preserve"> Objednatel oprávněn odstoupit od smlouvy.</w:t>
      </w:r>
    </w:p>
    <w:p w14:paraId="700C0934" w14:textId="52529E28" w:rsidR="004E1498" w:rsidRPr="004E1498" w:rsidRDefault="004E1498" w:rsidP="00756F4E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6E4032B4" w14:textId="1DC88977" w:rsidR="007C01CD" w:rsidRDefault="004E1498" w:rsidP="00164804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AC112C">
        <w:t>4</w:t>
      </w:r>
      <w:r w:rsidR="006566F7">
        <w:t xml:space="preserve"> této S</w:t>
      </w:r>
      <w:r w:rsidRPr="004E1498">
        <w:t xml:space="preserve">mlouvy. </w:t>
      </w:r>
    </w:p>
    <w:p w14:paraId="42CE8B6D" w14:textId="456ABD61" w:rsidR="00995A54" w:rsidRDefault="00995A54" w:rsidP="00995A54">
      <w:pPr>
        <w:pStyle w:val="Nadpis1"/>
      </w:pPr>
      <w:r>
        <w:t>Nakládání s odpady</w:t>
      </w:r>
    </w:p>
    <w:p w14:paraId="70316BF5" w14:textId="591769D6" w:rsidR="00995A54" w:rsidRDefault="00995A54" w:rsidP="00995A54">
      <w:pPr>
        <w:pStyle w:val="Nadpis2"/>
      </w:pPr>
      <w:r w:rsidRPr="00995A54">
        <w:t>Zhotovitel se zavazuje k odvozu a likvidaci odpadu vzniklého při provádění díla v souladu se zákonem č. 541/2020 Sb., o odpadech, a to nejpozději do 7 dnů od předání a převzetí předmětu díla.</w:t>
      </w:r>
    </w:p>
    <w:p w14:paraId="4ABDBFA2" w14:textId="48948D19" w:rsidR="00995A54" w:rsidRDefault="00995A54" w:rsidP="00756F4E">
      <w:pPr>
        <w:pStyle w:val="Nadpis2"/>
      </w:pPr>
      <w:r w:rsidRPr="00995A54">
        <w:t>Zhotovitel se zavazuje uhradit smluvní pokutu ve výši 5.000 Kč za každý byť i započatý den, ve kterém porušil svou povinnost odvozu a následné likvidace odpadu dle předchozího odstavce.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</w:t>
      </w:r>
      <w:r w:rsidRPr="0073792E">
        <w:lastRenderedPageBreak/>
        <w:t xml:space="preserve">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5C2E63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45739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75118D5C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E75DF7">
        <w:t>9</w:t>
      </w:r>
      <w:r>
        <w:t xml:space="preserve">.1 a </w:t>
      </w:r>
      <w:r w:rsidR="00E75DF7">
        <w:t>9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1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1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</w:t>
      </w:r>
      <w:r w:rsidRPr="00E75DF7">
        <w:t>pokutu ve výši 5 % procent z</w:t>
      </w:r>
      <w:r w:rsidR="00E13382" w:rsidRPr="00E75DF7">
        <w:t> C</w:t>
      </w:r>
      <w:r w:rsidRPr="00E75DF7">
        <w:t>eny</w:t>
      </w:r>
      <w:r w:rsidR="00E13382" w:rsidRPr="00E75DF7">
        <w:t xml:space="preserve"> díla (C</w:t>
      </w:r>
      <w:r w:rsidRPr="00E75DF7">
        <w:t>ena bez DPH) sjednané dle této Smlouvy.</w:t>
      </w:r>
      <w:r w:rsidRPr="0073792E">
        <w:t xml:space="preserve"> Ustanovení § 2004 odst. 2 Občanského zákoníku a § 2050 Občanského zákoníku se nepoužijí.</w:t>
      </w:r>
    </w:p>
    <w:p w14:paraId="1184804C" w14:textId="4A2CE85B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lastRenderedPageBreak/>
        <w:t>Compliance</w:t>
      </w:r>
      <w:proofErr w:type="spellEnd"/>
    </w:p>
    <w:p w14:paraId="5323DBB3" w14:textId="0841CEF0" w:rsidR="00867CA0" w:rsidRPr="00D5033E" w:rsidRDefault="00867CA0" w:rsidP="00E83679">
      <w:pPr>
        <w:pStyle w:val="Nadpis2"/>
      </w:pPr>
      <w:bookmarkStart w:id="2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41DE47C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2F641945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2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E75DF7" w:rsidRDefault="004E1498" w:rsidP="00F1527A">
      <w:pPr>
        <w:pStyle w:val="Nadpis2"/>
        <w:widowControl w:val="0"/>
      </w:pPr>
      <w:r w:rsidRPr="00E75DF7">
        <w:rPr>
          <w:rFonts w:eastAsia="Calibri"/>
        </w:rPr>
        <w:t xml:space="preserve">Tato </w:t>
      </w:r>
      <w:r w:rsidR="00D9782E" w:rsidRPr="00E75DF7">
        <w:rPr>
          <w:rFonts w:eastAsia="Calibri"/>
        </w:rPr>
        <w:t>Sml</w:t>
      </w:r>
      <w:r w:rsidRPr="00E75DF7">
        <w:rPr>
          <w:rFonts w:eastAsia="Calibri"/>
        </w:rPr>
        <w:t xml:space="preserve">ouva nabývá platnosti okamžikem podpisu poslední ze </w:t>
      </w:r>
      <w:r w:rsidR="00D9782E" w:rsidRPr="00E75DF7">
        <w:rPr>
          <w:rFonts w:eastAsia="Calibri"/>
        </w:rPr>
        <w:t>Sml</w:t>
      </w:r>
      <w:r w:rsidRPr="00E75DF7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lastRenderedPageBreak/>
        <w:t>Přílohy</w:t>
      </w:r>
    </w:p>
    <w:p w14:paraId="1A8DD9E7" w14:textId="0E665371" w:rsidR="00F13C6B" w:rsidRPr="00164804" w:rsidRDefault="00995A54" w:rsidP="00E83679">
      <w:pPr>
        <w:pStyle w:val="Plohy"/>
      </w:pPr>
      <w:r w:rsidRPr="00164804">
        <w:t>P</w:t>
      </w:r>
      <w:r w:rsidR="006E6E61" w:rsidRPr="00164804">
        <w:t>rojektová dokumentace</w:t>
      </w:r>
      <w:r w:rsidR="00091BC6">
        <w:t xml:space="preserve"> (vč. přílohy 1a – Požárně bezpečnostní řešení)</w:t>
      </w:r>
    </w:p>
    <w:p w14:paraId="006CBB1A" w14:textId="4FB30DE8" w:rsidR="006E6E61" w:rsidRPr="00164804" w:rsidRDefault="00B168C0" w:rsidP="00E83679">
      <w:pPr>
        <w:pStyle w:val="Plohy"/>
      </w:pPr>
      <w:r w:rsidRPr="00164804">
        <w:t>Oceněný položkový rozpočet</w:t>
      </w:r>
    </w:p>
    <w:p w14:paraId="077D172E" w14:textId="3B94A5E1" w:rsidR="006E6E61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>eznam poddodavatelů</w:t>
      </w:r>
      <w:r w:rsidRPr="009B4030">
        <w:rPr>
          <w:highlight w:val="green"/>
        </w:rPr>
        <w:t xml:space="preserve"> – doplní Zhotovitel</w:t>
      </w:r>
    </w:p>
    <w:p w14:paraId="77F210EE" w14:textId="76DCED7C" w:rsidR="00AC112C" w:rsidRDefault="00AC112C" w:rsidP="00E83679">
      <w:pPr>
        <w:pStyle w:val="Plohy"/>
      </w:pPr>
      <w:r w:rsidRPr="00091BC6">
        <w:t>Obchodní podmínky ke Smlouvě o dílo</w:t>
      </w:r>
    </w:p>
    <w:p w14:paraId="148F93E1" w14:textId="1B07F796" w:rsidR="000619A8" w:rsidRPr="009F37E3" w:rsidRDefault="000619A8" w:rsidP="00E83679">
      <w:pPr>
        <w:pStyle w:val="Plohy"/>
        <w:rPr>
          <w:highlight w:val="green"/>
        </w:rPr>
      </w:pPr>
      <w:r w:rsidRPr="009F37E3">
        <w:rPr>
          <w:highlight w:val="green"/>
        </w:rPr>
        <w:t>Harmonogram – doplní Zhotovitel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4FFC380B" w:rsidR="00613238" w:rsidRPr="00E83679" w:rsidRDefault="009C1886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Tomáš Čoček, Ph.D.</w:t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12738B">
        <w:rPr>
          <w:rStyle w:val="Tun"/>
          <w:rFonts w:eastAsiaTheme="minorHAnsi"/>
          <w:b w:val="0"/>
        </w:rPr>
        <w:t>náměstek GŘ pro ekonomiku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76752" w14:textId="77777777" w:rsidR="00235779" w:rsidRDefault="00235779" w:rsidP="00962258">
      <w:pPr>
        <w:spacing w:after="0" w:line="240" w:lineRule="auto"/>
      </w:pPr>
      <w:r>
        <w:separator/>
      </w:r>
    </w:p>
  </w:endnote>
  <w:endnote w:type="continuationSeparator" w:id="0">
    <w:p w14:paraId="6C5A3C68" w14:textId="77777777" w:rsidR="00235779" w:rsidRDefault="002357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D0002C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9A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9A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90637E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74F1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B0C573F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9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9A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9EAF7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C4F0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29BCE" w14:textId="77777777" w:rsidR="00235779" w:rsidRDefault="00235779" w:rsidP="00962258">
      <w:pPr>
        <w:spacing w:after="0" w:line="240" w:lineRule="auto"/>
      </w:pPr>
      <w:r>
        <w:separator/>
      </w:r>
    </w:p>
  </w:footnote>
  <w:footnote w:type="continuationSeparator" w:id="0">
    <w:p w14:paraId="3FB9BFE1" w14:textId="77777777" w:rsidR="00235779" w:rsidRDefault="002357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7187152">
    <w:abstractNumId w:val="5"/>
  </w:num>
  <w:num w:numId="2" w16cid:durableId="1891569488">
    <w:abstractNumId w:val="2"/>
  </w:num>
  <w:num w:numId="3" w16cid:durableId="1921136235">
    <w:abstractNumId w:val="7"/>
  </w:num>
  <w:num w:numId="4" w16cid:durableId="95297085">
    <w:abstractNumId w:val="21"/>
  </w:num>
  <w:num w:numId="5" w16cid:durableId="1497381797">
    <w:abstractNumId w:val="10"/>
  </w:num>
  <w:num w:numId="6" w16cid:durableId="1363629936">
    <w:abstractNumId w:val="1"/>
  </w:num>
  <w:num w:numId="7" w16cid:durableId="230234220">
    <w:abstractNumId w:val="12"/>
  </w:num>
  <w:num w:numId="8" w16cid:durableId="1276447292">
    <w:abstractNumId w:val="22"/>
  </w:num>
  <w:num w:numId="9" w16cid:durableId="975598264">
    <w:abstractNumId w:val="13"/>
  </w:num>
  <w:num w:numId="10" w16cid:durableId="846285697">
    <w:abstractNumId w:val="8"/>
  </w:num>
  <w:num w:numId="11" w16cid:durableId="459035616">
    <w:abstractNumId w:val="3"/>
  </w:num>
  <w:num w:numId="12" w16cid:durableId="1580553297">
    <w:abstractNumId w:val="18"/>
  </w:num>
  <w:num w:numId="13" w16cid:durableId="73161686">
    <w:abstractNumId w:val="20"/>
  </w:num>
  <w:num w:numId="14" w16cid:durableId="1996883422">
    <w:abstractNumId w:val="6"/>
  </w:num>
  <w:num w:numId="15" w16cid:durableId="1068571842">
    <w:abstractNumId w:val="23"/>
  </w:num>
  <w:num w:numId="16" w16cid:durableId="2055153158">
    <w:abstractNumId w:val="15"/>
  </w:num>
  <w:num w:numId="17" w16cid:durableId="256713724">
    <w:abstractNumId w:val="9"/>
  </w:num>
  <w:num w:numId="18" w16cid:durableId="1715496922">
    <w:abstractNumId w:val="11"/>
  </w:num>
  <w:num w:numId="19" w16cid:durableId="649481773">
    <w:abstractNumId w:val="17"/>
  </w:num>
  <w:num w:numId="20" w16cid:durableId="1690912667">
    <w:abstractNumId w:val="16"/>
  </w:num>
  <w:num w:numId="21" w16cid:durableId="715589486">
    <w:abstractNumId w:val="9"/>
  </w:num>
  <w:num w:numId="22" w16cid:durableId="1717046702">
    <w:abstractNumId w:val="19"/>
  </w:num>
  <w:num w:numId="23" w16cid:durableId="1651399906">
    <w:abstractNumId w:val="9"/>
  </w:num>
  <w:num w:numId="24" w16cid:durableId="1976135252">
    <w:abstractNumId w:val="9"/>
  </w:num>
  <w:num w:numId="25" w16cid:durableId="95298412">
    <w:abstractNumId w:val="9"/>
  </w:num>
  <w:num w:numId="26" w16cid:durableId="1223443351">
    <w:abstractNumId w:val="9"/>
  </w:num>
  <w:num w:numId="27" w16cid:durableId="405150877">
    <w:abstractNumId w:val="0"/>
  </w:num>
  <w:num w:numId="28" w16cid:durableId="2128692182">
    <w:abstractNumId w:val="9"/>
  </w:num>
  <w:num w:numId="29" w16cid:durableId="1905599967">
    <w:abstractNumId w:val="9"/>
  </w:num>
  <w:num w:numId="30" w16cid:durableId="1805925791">
    <w:abstractNumId w:val="14"/>
  </w:num>
  <w:num w:numId="31" w16cid:durableId="1505439958">
    <w:abstractNumId w:val="4"/>
  </w:num>
  <w:num w:numId="32" w16cid:durableId="1522745547">
    <w:abstractNumId w:val="9"/>
  </w:num>
  <w:num w:numId="33" w16cid:durableId="480388732">
    <w:abstractNumId w:val="9"/>
  </w:num>
  <w:num w:numId="34" w16cid:durableId="2143814422">
    <w:abstractNumId w:val="9"/>
  </w:num>
  <w:num w:numId="35" w16cid:durableId="1421872901">
    <w:abstractNumId w:val="9"/>
  </w:num>
  <w:num w:numId="36" w16cid:durableId="1453749480">
    <w:abstractNumId w:val="9"/>
  </w:num>
  <w:num w:numId="37" w16cid:durableId="563830757">
    <w:abstractNumId w:val="9"/>
  </w:num>
  <w:num w:numId="38" w16cid:durableId="2060089510">
    <w:abstractNumId w:val="9"/>
  </w:num>
  <w:num w:numId="39" w16cid:durableId="438069250">
    <w:abstractNumId w:val="9"/>
  </w:num>
  <w:num w:numId="40" w16cid:durableId="48686793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19A8"/>
    <w:rsid w:val="000645D6"/>
    <w:rsid w:val="00072C1E"/>
    <w:rsid w:val="00073A69"/>
    <w:rsid w:val="000814B9"/>
    <w:rsid w:val="000853E9"/>
    <w:rsid w:val="00091BC6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3E57"/>
    <w:rsid w:val="00114472"/>
    <w:rsid w:val="0011701F"/>
    <w:rsid w:val="001211B7"/>
    <w:rsid w:val="0012738B"/>
    <w:rsid w:val="0013379C"/>
    <w:rsid w:val="00143597"/>
    <w:rsid w:val="001550BC"/>
    <w:rsid w:val="001605B9"/>
    <w:rsid w:val="0016169A"/>
    <w:rsid w:val="00164804"/>
    <w:rsid w:val="00166781"/>
    <w:rsid w:val="00170EC5"/>
    <w:rsid w:val="001747C1"/>
    <w:rsid w:val="00184743"/>
    <w:rsid w:val="00193A76"/>
    <w:rsid w:val="001A6752"/>
    <w:rsid w:val="001C0FC2"/>
    <w:rsid w:val="001C298C"/>
    <w:rsid w:val="001C65F9"/>
    <w:rsid w:val="001D2401"/>
    <w:rsid w:val="001D3AFC"/>
    <w:rsid w:val="001D68A6"/>
    <w:rsid w:val="00207DF5"/>
    <w:rsid w:val="00216193"/>
    <w:rsid w:val="002313EA"/>
    <w:rsid w:val="00235779"/>
    <w:rsid w:val="00247E6A"/>
    <w:rsid w:val="0025341D"/>
    <w:rsid w:val="00256030"/>
    <w:rsid w:val="0026651B"/>
    <w:rsid w:val="00272CCB"/>
    <w:rsid w:val="00275474"/>
    <w:rsid w:val="002771AA"/>
    <w:rsid w:val="00280E07"/>
    <w:rsid w:val="0029605F"/>
    <w:rsid w:val="002A2DDA"/>
    <w:rsid w:val="002C31BF"/>
    <w:rsid w:val="002D08B1"/>
    <w:rsid w:val="002D6523"/>
    <w:rsid w:val="002E0CD7"/>
    <w:rsid w:val="002E2841"/>
    <w:rsid w:val="003013FA"/>
    <w:rsid w:val="003071BD"/>
    <w:rsid w:val="00315CEB"/>
    <w:rsid w:val="00341DCF"/>
    <w:rsid w:val="00345739"/>
    <w:rsid w:val="00357BC6"/>
    <w:rsid w:val="00367511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21AA"/>
    <w:rsid w:val="003D703A"/>
    <w:rsid w:val="003E4469"/>
    <w:rsid w:val="003F20D8"/>
    <w:rsid w:val="00401303"/>
    <w:rsid w:val="0040581A"/>
    <w:rsid w:val="0042314E"/>
    <w:rsid w:val="00431925"/>
    <w:rsid w:val="00441430"/>
    <w:rsid w:val="004429CF"/>
    <w:rsid w:val="00450F07"/>
    <w:rsid w:val="004529BC"/>
    <w:rsid w:val="00453035"/>
    <w:rsid w:val="00453CD3"/>
    <w:rsid w:val="00457620"/>
    <w:rsid w:val="00460011"/>
    <w:rsid w:val="00460660"/>
    <w:rsid w:val="00461D32"/>
    <w:rsid w:val="00465E8A"/>
    <w:rsid w:val="0047161E"/>
    <w:rsid w:val="0047677B"/>
    <w:rsid w:val="00486107"/>
    <w:rsid w:val="00491827"/>
    <w:rsid w:val="00493B1B"/>
    <w:rsid w:val="004A0653"/>
    <w:rsid w:val="004A1DA5"/>
    <w:rsid w:val="004A6222"/>
    <w:rsid w:val="004B097C"/>
    <w:rsid w:val="004B11BE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4646B"/>
    <w:rsid w:val="0055288E"/>
    <w:rsid w:val="00553375"/>
    <w:rsid w:val="005553C9"/>
    <w:rsid w:val="005736B7"/>
    <w:rsid w:val="005740C3"/>
    <w:rsid w:val="00575E5A"/>
    <w:rsid w:val="00576039"/>
    <w:rsid w:val="00592757"/>
    <w:rsid w:val="00597E84"/>
    <w:rsid w:val="005B76DD"/>
    <w:rsid w:val="005D5624"/>
    <w:rsid w:val="005F1404"/>
    <w:rsid w:val="0060520C"/>
    <w:rsid w:val="0061068E"/>
    <w:rsid w:val="00613238"/>
    <w:rsid w:val="006261BF"/>
    <w:rsid w:val="00646053"/>
    <w:rsid w:val="006550C0"/>
    <w:rsid w:val="006566F7"/>
    <w:rsid w:val="00660AD3"/>
    <w:rsid w:val="00665115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53A3"/>
    <w:rsid w:val="00756BBA"/>
    <w:rsid w:val="00756F4E"/>
    <w:rsid w:val="0076286B"/>
    <w:rsid w:val="00766846"/>
    <w:rsid w:val="00770D1C"/>
    <w:rsid w:val="0077673A"/>
    <w:rsid w:val="00782B51"/>
    <w:rsid w:val="007846E1"/>
    <w:rsid w:val="007A0C04"/>
    <w:rsid w:val="007B0F53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3236"/>
    <w:rsid w:val="008659F3"/>
    <w:rsid w:val="00867CA0"/>
    <w:rsid w:val="00886D4B"/>
    <w:rsid w:val="008945EC"/>
    <w:rsid w:val="00895406"/>
    <w:rsid w:val="008A3568"/>
    <w:rsid w:val="008A77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09C8"/>
    <w:rsid w:val="00936091"/>
    <w:rsid w:val="00940693"/>
    <w:rsid w:val="00940D8A"/>
    <w:rsid w:val="00950C1F"/>
    <w:rsid w:val="00962258"/>
    <w:rsid w:val="009678B7"/>
    <w:rsid w:val="00976DB6"/>
    <w:rsid w:val="009833E1"/>
    <w:rsid w:val="00985EC7"/>
    <w:rsid w:val="009914E4"/>
    <w:rsid w:val="00992D9C"/>
    <w:rsid w:val="00995A54"/>
    <w:rsid w:val="00996CB8"/>
    <w:rsid w:val="009A0078"/>
    <w:rsid w:val="009A6D68"/>
    <w:rsid w:val="009B14A9"/>
    <w:rsid w:val="009B2E97"/>
    <w:rsid w:val="009B4030"/>
    <w:rsid w:val="009C1886"/>
    <w:rsid w:val="009C30C5"/>
    <w:rsid w:val="009D1230"/>
    <w:rsid w:val="009D1706"/>
    <w:rsid w:val="009E07F4"/>
    <w:rsid w:val="009F37E3"/>
    <w:rsid w:val="009F392E"/>
    <w:rsid w:val="00A01A92"/>
    <w:rsid w:val="00A021CC"/>
    <w:rsid w:val="00A02EE7"/>
    <w:rsid w:val="00A157FE"/>
    <w:rsid w:val="00A167E5"/>
    <w:rsid w:val="00A25B66"/>
    <w:rsid w:val="00A320BE"/>
    <w:rsid w:val="00A35D0B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C112C"/>
    <w:rsid w:val="00AD056F"/>
    <w:rsid w:val="00AD55D5"/>
    <w:rsid w:val="00AD6731"/>
    <w:rsid w:val="00AD7371"/>
    <w:rsid w:val="00AF11FA"/>
    <w:rsid w:val="00AF135E"/>
    <w:rsid w:val="00B15D0D"/>
    <w:rsid w:val="00B168C0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11765"/>
    <w:rsid w:val="00C22949"/>
    <w:rsid w:val="00C35AE5"/>
    <w:rsid w:val="00C37E6D"/>
    <w:rsid w:val="00C42A1F"/>
    <w:rsid w:val="00C44F6A"/>
    <w:rsid w:val="00C47AE3"/>
    <w:rsid w:val="00C531B7"/>
    <w:rsid w:val="00C70EC1"/>
    <w:rsid w:val="00CB53B1"/>
    <w:rsid w:val="00CB6084"/>
    <w:rsid w:val="00CC3F14"/>
    <w:rsid w:val="00CC6991"/>
    <w:rsid w:val="00CD0D5A"/>
    <w:rsid w:val="00CD1FC4"/>
    <w:rsid w:val="00D01646"/>
    <w:rsid w:val="00D12287"/>
    <w:rsid w:val="00D21061"/>
    <w:rsid w:val="00D4108E"/>
    <w:rsid w:val="00D6163D"/>
    <w:rsid w:val="00D657AD"/>
    <w:rsid w:val="00D674A5"/>
    <w:rsid w:val="00D76037"/>
    <w:rsid w:val="00D820EA"/>
    <w:rsid w:val="00D831A3"/>
    <w:rsid w:val="00D85C5B"/>
    <w:rsid w:val="00D97370"/>
    <w:rsid w:val="00D9782E"/>
    <w:rsid w:val="00DB0485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062C"/>
    <w:rsid w:val="00E55F3F"/>
    <w:rsid w:val="00E7355A"/>
    <w:rsid w:val="00E75DF7"/>
    <w:rsid w:val="00E76B71"/>
    <w:rsid w:val="00E83679"/>
    <w:rsid w:val="00EA67F0"/>
    <w:rsid w:val="00EB104F"/>
    <w:rsid w:val="00EC44FE"/>
    <w:rsid w:val="00ED14BD"/>
    <w:rsid w:val="00EE32FE"/>
    <w:rsid w:val="00EE5EBA"/>
    <w:rsid w:val="00EF1804"/>
    <w:rsid w:val="00EF3688"/>
    <w:rsid w:val="00F0363E"/>
    <w:rsid w:val="00F0533E"/>
    <w:rsid w:val="00F1048D"/>
    <w:rsid w:val="00F12C80"/>
    <w:rsid w:val="00F12DEC"/>
    <w:rsid w:val="00F13C6B"/>
    <w:rsid w:val="00F1527A"/>
    <w:rsid w:val="00F1715C"/>
    <w:rsid w:val="00F173A5"/>
    <w:rsid w:val="00F17C4F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E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E4A848-6454-4517-8944-9A34D9CFEA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2296</Words>
  <Characters>13552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Kleprlíková Hana, Bc.</cp:lastModifiedBy>
  <cp:revision>7</cp:revision>
  <cp:lastPrinted>2017-11-28T17:18:00Z</cp:lastPrinted>
  <dcterms:created xsi:type="dcterms:W3CDTF">2024-07-31T13:06:00Z</dcterms:created>
  <dcterms:modified xsi:type="dcterms:W3CDTF">2024-08-05T10:30:00Z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